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38739824"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45051A">
        <w:rPr>
          <w:rFonts w:ascii="游ゴシック" w:eastAsia="游ゴシック" w:hAnsi="游ゴシック"/>
          <w:noProof/>
          <w:szCs w:val="21"/>
        </w:rPr>
        <w:t>2025年10月17日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57662B9A" w14:textId="2B79DBC4" w:rsidR="00C54B2B" w:rsidRPr="00C54B2B" w:rsidRDefault="00C54B2B" w:rsidP="00C54B2B">
      <w:pPr>
        <w:rPr>
          <w:rFonts w:ascii="游ゴシック" w:eastAsia="游ゴシック" w:hAnsi="游ゴシック" w:cs="ＭＳ 明朝" w:hint="eastAsia"/>
          <w:bCs/>
          <w:kern w:val="0"/>
          <w:szCs w:val="28"/>
        </w:rPr>
      </w:pPr>
      <w:r w:rsidRPr="00C54B2B">
        <w:rPr>
          <w:rFonts w:ascii="游ゴシック" w:eastAsia="游ゴシック" w:hAnsi="游ゴシック" w:cs="ＭＳ 明朝" w:hint="eastAsia"/>
          <w:bCs/>
          <w:kern w:val="0"/>
          <w:szCs w:val="28"/>
        </w:rPr>
        <w:t>20●●年3月●●大学卒業後、同年4月より株式会社●●保険サービスに入社。来店型保険ショップにて、ライフコンサルタントとして4年間勤務。個人顧客を中心に、約40社の生命保険、損害保険（自動車、火災、傷害等）を中立的な立場で比較・提案。予約および反響で来店された顧客に対し、単なる保険商品ではなく、世帯の総合的なリスクマネジメントを提供。</w:t>
      </w:r>
    </w:p>
    <w:p w14:paraId="5D73D641" w14:textId="77777777" w:rsidR="00C54B2B" w:rsidRDefault="00C54B2B" w:rsidP="00C54B2B">
      <w:pPr>
        <w:rPr>
          <w:rFonts w:ascii="游ゴシック" w:eastAsia="游ゴシック" w:hAnsi="游ゴシック" w:cs="ＭＳ 明朝"/>
          <w:bCs/>
          <w:kern w:val="0"/>
          <w:szCs w:val="28"/>
        </w:rPr>
      </w:pPr>
      <w:r w:rsidRPr="00C54B2B">
        <w:rPr>
          <w:rFonts w:ascii="游ゴシック" w:eastAsia="游ゴシック" w:hAnsi="游ゴシック" w:cs="ＭＳ 明朝" w:hint="eastAsia"/>
          <w:bCs/>
          <w:kern w:val="0"/>
          <w:szCs w:val="28"/>
        </w:rPr>
        <w:t>特に、世帯全体のキャッシュフロー分析に基づいたコンサルティングに強みを持ち、既存契約の見直しや新規加入における高い成約率（平均70%）を維持。入社2年目には店舗内のコンサルティング品質評価でMVPを獲得。損害保険へのクロスセル（セット販売）比率を支店平均の1.5倍に引き上げ、顧客の利便性向上と会社の収益拡大に貢献。幅広い商品知識と、顧客の不安を安心に変えるヒアリング力・比較提案力が強みです。</w:t>
      </w:r>
    </w:p>
    <w:p w14:paraId="4A4F25EB" w14:textId="1A7389A2" w:rsidR="00F221B9" w:rsidRPr="00185585" w:rsidRDefault="00D81ED1" w:rsidP="00C54B2B">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51930A2B"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C54B2B" w:rsidRPr="00C54B2B">
              <w:rPr>
                <w:rFonts w:ascii="游ゴシック" w:eastAsia="游ゴシック" w:hAnsi="游ゴシック" w:hint="eastAsia"/>
                <w:b/>
                <w:bCs/>
              </w:rPr>
              <w:t>株式会社●●保険サービス</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4D390A5" w14:textId="74E0CC30"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B33439" w:rsidRPr="00B33439">
              <w:rPr>
                <w:rFonts w:ascii="游ゴシック" w:eastAsia="游ゴシック" w:hAnsi="游ゴシック" w:cs="ＭＳ 明朝" w:hint="eastAsia"/>
                <w:kern w:val="0"/>
                <w:sz w:val="20"/>
              </w:rPr>
              <w:t>証券業（金融商品仲介、資産運用コンサルティング、引受・M&amp;A等）</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BB38FC" w:rsidRPr="00BB38FC">
              <w:rPr>
                <w:rFonts w:ascii="游ゴシック" w:eastAsia="游ゴシック" w:hAnsi="游ゴシック" w:cs="ＭＳ 明朝" w:hint="eastAsia"/>
                <w:kern w:val="0"/>
                <w:sz w:val="20"/>
              </w:rPr>
              <w:t>3億円</w:t>
            </w:r>
            <w:r w:rsidR="00D8330F">
              <w:rPr>
                <w:rFonts w:ascii="游ゴシック" w:eastAsia="游ゴシック" w:hAnsi="游ゴシック" w:cs="ＭＳ 明朝" w:hint="eastAsia"/>
                <w:kern w:val="0"/>
                <w:sz w:val="20"/>
              </w:rPr>
              <w:t xml:space="preserve">　売上高：</w:t>
            </w:r>
            <w:r w:rsidR="00BB38FC" w:rsidRPr="00BB38FC">
              <w:rPr>
                <w:rFonts w:ascii="游ゴシック" w:eastAsia="游ゴシック" w:hAnsi="游ゴシック" w:cs="ＭＳ 明朝" w:hint="eastAsia"/>
                <w:kern w:val="0"/>
                <w:sz w:val="20"/>
              </w:rPr>
              <w:t>80億円（手数料収入）1,500名（全国約150店舗、コンサルタント含む）</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shd w:val="clear" w:color="auto" w:fill="auto"/>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069B5CB5" w:rsidR="00CE74C9" w:rsidRPr="00AC23B4" w:rsidRDefault="00C54B2B" w:rsidP="00E015B7">
            <w:pPr>
              <w:autoSpaceDE w:val="0"/>
              <w:autoSpaceDN w:val="0"/>
              <w:adjustRightInd w:val="0"/>
              <w:jc w:val="left"/>
              <w:rPr>
                <w:rFonts w:ascii="游ゴシック" w:eastAsia="游ゴシック" w:hAnsi="游ゴシック" w:cs="ＭＳ 明朝"/>
                <w:kern w:val="0"/>
                <w:sz w:val="20"/>
                <w:szCs w:val="20"/>
              </w:rPr>
            </w:pPr>
            <w:r w:rsidRPr="00C54B2B">
              <w:rPr>
                <w:rFonts w:ascii="游ゴシック" w:eastAsia="游ゴシック" w:hAnsi="游ゴシック" w:cs="ＭＳ 明朝" w:hint="eastAsia"/>
                <w:kern w:val="0"/>
                <w:sz w:val="20"/>
                <w:szCs w:val="20"/>
              </w:rPr>
              <w:t>〇〇店 / 総合ライフコンサルタント</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7B774FE6" w14:textId="77777777" w:rsidR="00C54B2B" w:rsidRDefault="00C54B2B" w:rsidP="00E65FA0">
            <w:pPr>
              <w:autoSpaceDE w:val="0"/>
              <w:autoSpaceDN w:val="0"/>
              <w:adjustRightInd w:val="0"/>
              <w:jc w:val="left"/>
              <w:rPr>
                <w:rFonts w:ascii="游ゴシック" w:eastAsia="游ゴシック" w:hAnsi="游ゴシック" w:cs="ＭＳ 明朝"/>
                <w:kern w:val="0"/>
                <w:sz w:val="20"/>
                <w:szCs w:val="20"/>
              </w:rPr>
            </w:pPr>
            <w:r w:rsidRPr="00C54B2B">
              <w:rPr>
                <w:rFonts w:ascii="游ゴシック" w:eastAsia="游ゴシック" w:hAnsi="游ゴシック" w:cs="ＭＳ 明朝" w:hint="eastAsia"/>
                <w:kern w:val="0"/>
                <w:sz w:val="20"/>
                <w:szCs w:val="20"/>
              </w:rPr>
              <w:t>来店型/反響型コンサルティング営業（広告、Web経由の予約客への対応が中心）</w:t>
            </w:r>
          </w:p>
          <w:p w14:paraId="76F0862E" w14:textId="640A554D"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12F594E9" w14:textId="77777777" w:rsidR="00C54B2B" w:rsidRDefault="00C54B2B" w:rsidP="00E65FA0">
            <w:pPr>
              <w:autoSpaceDE w:val="0"/>
              <w:autoSpaceDN w:val="0"/>
              <w:adjustRightInd w:val="0"/>
              <w:jc w:val="left"/>
              <w:rPr>
                <w:rFonts w:ascii="游ゴシック" w:eastAsia="游ゴシック" w:hAnsi="游ゴシック" w:cs="ＭＳ 明朝"/>
                <w:kern w:val="0"/>
                <w:sz w:val="20"/>
                <w:szCs w:val="20"/>
              </w:rPr>
            </w:pPr>
            <w:r w:rsidRPr="00C54B2B">
              <w:rPr>
                <w:rFonts w:ascii="游ゴシック" w:eastAsia="游ゴシック" w:hAnsi="游ゴシック" w:cs="ＭＳ 明朝" w:hint="eastAsia"/>
                <w:kern w:val="0"/>
                <w:sz w:val="20"/>
                <w:szCs w:val="20"/>
              </w:rPr>
              <w:t>新規・既存顧客との面談：平均3～5組（1組あたり90～120分）、電話・メールフォロー：10件前後</w:t>
            </w:r>
          </w:p>
          <w:p w14:paraId="1E24EC1B" w14:textId="0B248456"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3A21B155" w14:textId="77777777" w:rsidR="00C54B2B" w:rsidRPr="00C54B2B" w:rsidRDefault="00C54B2B" w:rsidP="00C54B2B">
            <w:pPr>
              <w:rPr>
                <w:rFonts w:ascii="游ゴシック" w:eastAsia="游ゴシック" w:hAnsi="游ゴシック" w:cs="ＭＳ 明朝" w:hint="eastAsia"/>
                <w:kern w:val="0"/>
                <w:sz w:val="20"/>
                <w:szCs w:val="20"/>
              </w:rPr>
            </w:pPr>
            <w:r w:rsidRPr="00C54B2B">
              <w:rPr>
                <w:rFonts w:ascii="游ゴシック" w:eastAsia="游ゴシック" w:hAnsi="游ゴシック" w:cs="ＭＳ 明朝" w:hint="eastAsia"/>
                <w:kern w:val="0"/>
                <w:sz w:val="20"/>
                <w:szCs w:val="20"/>
              </w:rPr>
              <w:t>新規契約獲得数：年間平均90～110件、既存フォロー顧客：約600世帯</w:t>
            </w:r>
          </w:p>
          <w:p w14:paraId="4584C4C3" w14:textId="0BC04958"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kern w:val="0"/>
                <w:sz w:val="20"/>
                <w:szCs w:val="20"/>
              </w:rPr>
              <w:t>商材の単価</w:t>
            </w:r>
            <w:r w:rsidRPr="00B33439">
              <w:rPr>
                <w:rFonts w:ascii="游ゴシック" w:eastAsia="游ゴシック" w:hAnsi="游ゴシック" w:cs="ＭＳ 明朝" w:hint="eastAsia"/>
                <w:kern w:val="0"/>
                <w:sz w:val="20"/>
                <w:szCs w:val="20"/>
              </w:rPr>
              <w:t xml:space="preserve">： </w:t>
            </w:r>
          </w:p>
          <w:p w14:paraId="06B4F021" w14:textId="77777777" w:rsidR="00C54B2B" w:rsidRDefault="00C54B2B" w:rsidP="00E65FA0">
            <w:pPr>
              <w:autoSpaceDE w:val="0"/>
              <w:autoSpaceDN w:val="0"/>
              <w:adjustRightInd w:val="0"/>
              <w:jc w:val="left"/>
              <w:rPr>
                <w:rFonts w:ascii="游ゴシック" w:eastAsia="游ゴシック" w:hAnsi="游ゴシック" w:cs="ＭＳ 明朝"/>
                <w:kern w:val="0"/>
                <w:sz w:val="20"/>
                <w:szCs w:val="20"/>
              </w:rPr>
            </w:pPr>
            <w:r w:rsidRPr="00C54B2B">
              <w:rPr>
                <w:rFonts w:ascii="游ゴシック" w:eastAsia="游ゴシック" w:hAnsi="游ゴシック" w:cs="ＭＳ 明朝" w:hint="eastAsia"/>
                <w:kern w:val="0"/>
                <w:sz w:val="20"/>
                <w:szCs w:val="20"/>
              </w:rPr>
              <w:t>月払保険料：1万円～3万円が中心、損保契約：年間数万円～数十万円</w:t>
            </w:r>
          </w:p>
          <w:p w14:paraId="168F68BD" w14:textId="7BF1CF91"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78D88131" w14:textId="7DCEF348" w:rsidR="00C54B2B" w:rsidRPr="00C54B2B" w:rsidRDefault="00C54B2B" w:rsidP="00C54B2B">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C54B2B">
              <w:rPr>
                <w:rFonts w:ascii="游ゴシック" w:eastAsia="游ゴシック" w:hAnsi="游ゴシック" w:cs="ＭＳ 明朝" w:hint="eastAsia"/>
                <w:b/>
                <w:bCs/>
                <w:kern w:val="0"/>
                <w:sz w:val="20"/>
                <w:szCs w:val="20"/>
              </w:rPr>
              <w:t>総合ヒアリング</w:t>
            </w:r>
            <w:r>
              <w:rPr>
                <w:rFonts w:ascii="游ゴシック" w:eastAsia="游ゴシック" w:hAnsi="游ゴシック" w:cs="ＭＳ 明朝"/>
                <w:b/>
                <w:bCs/>
                <w:kern w:val="0"/>
                <w:sz w:val="20"/>
                <w:szCs w:val="20"/>
              </w:rPr>
              <w:br/>
            </w:r>
            <w:r w:rsidRPr="00C54B2B">
              <w:rPr>
                <w:rFonts w:ascii="游ゴシック" w:eastAsia="游ゴシック" w:hAnsi="游ゴシック" w:cs="ＭＳ 明朝" w:hint="eastAsia"/>
                <w:kern w:val="0"/>
                <w:sz w:val="20"/>
                <w:szCs w:val="20"/>
              </w:rPr>
              <w:t>顧客の家族構成、収支、資産状況に基づき、生活リスクと経済リスクを総合的にヒアリング</w:t>
            </w:r>
          </w:p>
          <w:p w14:paraId="6F95AF47" w14:textId="5AA430E4" w:rsidR="00C54B2B" w:rsidRPr="00C54B2B" w:rsidRDefault="00C54B2B" w:rsidP="00C54B2B">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C54B2B">
              <w:rPr>
                <w:rFonts w:ascii="游ゴシック" w:eastAsia="游ゴシック" w:hAnsi="游ゴシック" w:cs="ＭＳ 明朝" w:hint="eastAsia"/>
                <w:b/>
                <w:bCs/>
                <w:kern w:val="0"/>
                <w:sz w:val="20"/>
                <w:szCs w:val="20"/>
              </w:rPr>
              <w:t>ニーズ分析</w:t>
            </w:r>
            <w:r>
              <w:rPr>
                <w:rFonts w:ascii="游ゴシック" w:eastAsia="游ゴシック" w:hAnsi="游ゴシック" w:cs="ＭＳ 明朝"/>
                <w:b/>
                <w:bCs/>
                <w:kern w:val="0"/>
                <w:sz w:val="20"/>
                <w:szCs w:val="20"/>
              </w:rPr>
              <w:br/>
            </w:r>
            <w:r w:rsidRPr="00C54B2B">
              <w:rPr>
                <w:rFonts w:ascii="游ゴシック" w:eastAsia="游ゴシック" w:hAnsi="游ゴシック" w:cs="ＭＳ 明朝" w:hint="eastAsia"/>
                <w:kern w:val="0"/>
                <w:sz w:val="20"/>
                <w:szCs w:val="20"/>
              </w:rPr>
              <w:t>現在の加入状況と将来の不安を照らし合わせ、必要な保障額と期間を明確化</w:t>
            </w:r>
          </w:p>
          <w:p w14:paraId="24BD4613" w14:textId="273840CA" w:rsidR="00C54B2B" w:rsidRPr="00C54B2B" w:rsidRDefault="00C54B2B" w:rsidP="00C54B2B">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C54B2B">
              <w:rPr>
                <w:rFonts w:ascii="游ゴシック" w:eastAsia="游ゴシック" w:hAnsi="游ゴシック" w:cs="ＭＳ 明朝" w:hint="eastAsia"/>
                <w:b/>
                <w:bCs/>
                <w:kern w:val="0"/>
                <w:sz w:val="20"/>
                <w:szCs w:val="20"/>
              </w:rPr>
              <w:t>商品比較提案</w:t>
            </w:r>
            <w:r>
              <w:rPr>
                <w:rFonts w:ascii="游ゴシック" w:eastAsia="游ゴシック" w:hAnsi="游ゴシック" w:cs="ＭＳ 明朝"/>
                <w:b/>
                <w:bCs/>
                <w:kern w:val="0"/>
                <w:sz w:val="20"/>
                <w:szCs w:val="20"/>
              </w:rPr>
              <w:br/>
            </w:r>
            <w:r w:rsidRPr="00C54B2B">
              <w:rPr>
                <w:rFonts w:ascii="游ゴシック" w:eastAsia="游ゴシック" w:hAnsi="游ゴシック" w:cs="ＭＳ 明朝" w:hint="eastAsia"/>
                <w:kern w:val="0"/>
                <w:sz w:val="20"/>
                <w:szCs w:val="20"/>
              </w:rPr>
              <w:t>約40社の生保・15社の損保の中から、中立的な立場で最適な商品を数社選定し、メリット・デメリットを比較提示</w:t>
            </w:r>
          </w:p>
          <w:p w14:paraId="0DFE4AF9" w14:textId="6DB379B4" w:rsidR="00C54B2B" w:rsidRPr="00C54B2B" w:rsidRDefault="00C54B2B" w:rsidP="00C54B2B">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C54B2B">
              <w:rPr>
                <w:rFonts w:ascii="游ゴシック" w:eastAsia="游ゴシック" w:hAnsi="游ゴシック" w:cs="ＭＳ 明朝" w:hint="eastAsia"/>
                <w:b/>
                <w:bCs/>
                <w:kern w:val="0"/>
                <w:sz w:val="20"/>
                <w:szCs w:val="20"/>
              </w:rPr>
              <w:t>損保クロスセル</w:t>
            </w:r>
            <w:r>
              <w:rPr>
                <w:rFonts w:ascii="游ゴシック" w:eastAsia="游ゴシック" w:hAnsi="游ゴシック" w:cs="ＭＳ 明朝"/>
                <w:b/>
                <w:bCs/>
                <w:kern w:val="0"/>
                <w:sz w:val="20"/>
                <w:szCs w:val="20"/>
              </w:rPr>
              <w:br/>
            </w:r>
            <w:r w:rsidRPr="00C54B2B">
              <w:rPr>
                <w:rFonts w:ascii="游ゴシック" w:eastAsia="游ゴシック" w:hAnsi="游ゴシック" w:cs="ＭＳ 明朝" w:hint="eastAsia"/>
                <w:kern w:val="0"/>
                <w:sz w:val="20"/>
                <w:szCs w:val="20"/>
              </w:rPr>
              <w:lastRenderedPageBreak/>
              <w:t>火災保険、自動車保険、傷害保険など、生活リスクに合わせた損害保険のセット提案を積極的に実施</w:t>
            </w:r>
          </w:p>
          <w:p w14:paraId="5A429A89" w14:textId="4D9F546A" w:rsidR="00C54B2B" w:rsidRPr="00C54B2B" w:rsidRDefault="00C54B2B" w:rsidP="00C54B2B">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C54B2B">
              <w:rPr>
                <w:rFonts w:ascii="游ゴシック" w:eastAsia="游ゴシック" w:hAnsi="游ゴシック" w:cs="ＭＳ 明朝" w:hint="eastAsia"/>
                <w:b/>
                <w:bCs/>
                <w:kern w:val="0"/>
                <w:sz w:val="20"/>
                <w:szCs w:val="20"/>
              </w:rPr>
              <w:t>契約・事務手続き</w:t>
            </w:r>
            <w:r>
              <w:rPr>
                <w:rFonts w:ascii="游ゴシック" w:eastAsia="游ゴシック" w:hAnsi="游ゴシック" w:cs="ＭＳ 明朝"/>
                <w:b/>
                <w:bCs/>
                <w:kern w:val="0"/>
                <w:sz w:val="20"/>
                <w:szCs w:val="20"/>
              </w:rPr>
              <w:br/>
            </w:r>
            <w:r w:rsidRPr="00C54B2B">
              <w:rPr>
                <w:rFonts w:ascii="游ゴシック" w:eastAsia="游ゴシック" w:hAnsi="游ゴシック" w:cs="ＭＳ 明朝" w:hint="eastAsia"/>
                <w:kern w:val="0"/>
                <w:sz w:val="20"/>
                <w:szCs w:val="20"/>
              </w:rPr>
              <w:t>複数社の保険約款・重要事項説明の実施、契約事務処理、システムへの入力</w:t>
            </w:r>
          </w:p>
          <w:p w14:paraId="349A7FEF" w14:textId="77777777" w:rsidR="00C54B2B" w:rsidRDefault="00C54B2B" w:rsidP="00C54B2B">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C54B2B">
              <w:rPr>
                <w:rFonts w:ascii="游ゴシック" w:eastAsia="游ゴシック" w:hAnsi="游ゴシック" w:cs="ＭＳ 明朝" w:hint="eastAsia"/>
                <w:b/>
                <w:bCs/>
                <w:kern w:val="0"/>
                <w:sz w:val="20"/>
                <w:szCs w:val="20"/>
              </w:rPr>
              <w:t>アフターフォロー</w:t>
            </w:r>
            <w:r>
              <w:rPr>
                <w:rFonts w:ascii="游ゴシック" w:eastAsia="游ゴシック" w:hAnsi="游ゴシック" w:cs="ＭＳ 明朝"/>
                <w:b/>
                <w:bCs/>
                <w:kern w:val="0"/>
                <w:sz w:val="20"/>
                <w:szCs w:val="20"/>
              </w:rPr>
              <w:br/>
            </w:r>
            <w:r w:rsidRPr="00C54B2B">
              <w:rPr>
                <w:rFonts w:ascii="游ゴシック" w:eastAsia="游ゴシック" w:hAnsi="游ゴシック" w:cs="ＭＳ 明朝" w:hint="eastAsia"/>
                <w:kern w:val="0"/>
                <w:sz w:val="20"/>
                <w:szCs w:val="20"/>
              </w:rPr>
              <w:t>満期案内、住所変更、給付金請求サポート、ライフステージ変化時の保障見直し提案</w:t>
            </w:r>
          </w:p>
          <w:p w14:paraId="489A1D58" w14:textId="5E3BBBA5" w:rsidR="00D57D83" w:rsidRPr="000A24D7" w:rsidRDefault="002E4E59" w:rsidP="00C54B2B">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6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985"/>
              <w:gridCol w:w="1417"/>
              <w:gridCol w:w="1701"/>
            </w:tblGrid>
            <w:tr w:rsidR="000A24D7" w14:paraId="394E1F63" w14:textId="77777777" w:rsidTr="000A24D7">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1985" w:type="dxa"/>
                  <w:shd w:val="clear" w:color="auto" w:fill="DEEAF6"/>
                  <w:vAlign w:val="center"/>
                </w:tcPr>
                <w:p w14:paraId="3DD96FEE" w14:textId="3A49212C" w:rsidR="000A24D7" w:rsidRDefault="000A24D7" w:rsidP="006A2F66">
                  <w:pPr>
                    <w:autoSpaceDE w:val="0"/>
                    <w:autoSpaceDN w:val="0"/>
                    <w:adjustRightInd w:val="0"/>
                    <w:jc w:val="center"/>
                    <w:rPr>
                      <w:rFonts w:ascii="游ゴシック" w:eastAsia="游ゴシック" w:hAnsi="游ゴシック" w:cs="ＭＳ 明朝"/>
                      <w:b/>
                      <w:bCs/>
                      <w:kern w:val="0"/>
                      <w:sz w:val="18"/>
                      <w:szCs w:val="18"/>
                    </w:rPr>
                  </w:pPr>
                  <w:r w:rsidRPr="000A24D7">
                    <w:rPr>
                      <w:rFonts w:ascii="游ゴシック" w:eastAsia="游ゴシック" w:hAnsi="游ゴシック" w:cs="ＭＳ 明朝" w:hint="eastAsia"/>
                      <w:b/>
                      <w:bCs/>
                      <w:kern w:val="0"/>
                      <w:sz w:val="18"/>
                      <w:szCs w:val="18"/>
                    </w:rPr>
                    <w:t>新規契約件数 (件/年)</w:t>
                  </w:r>
                </w:p>
              </w:tc>
              <w:tc>
                <w:tcPr>
                  <w:tcW w:w="1417" w:type="dxa"/>
                  <w:shd w:val="clear" w:color="auto" w:fill="DEEAF6"/>
                  <w:vAlign w:val="center"/>
                </w:tcPr>
                <w:p w14:paraId="59A7D414" w14:textId="6AA72295"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sidRPr="000A24D7">
                    <w:rPr>
                      <w:rFonts w:ascii="游ゴシック" w:eastAsia="游ゴシック" w:hAnsi="游ゴシック" w:cs="ＭＳ 明朝" w:hint="eastAsia"/>
                      <w:b/>
                      <w:bCs/>
                      <w:kern w:val="0"/>
                      <w:sz w:val="18"/>
                      <w:szCs w:val="18"/>
                    </w:rPr>
                    <w:t xml:space="preserve">目標達成率 </w:t>
                  </w:r>
                </w:p>
              </w:tc>
              <w:tc>
                <w:tcPr>
                  <w:tcW w:w="1701" w:type="dxa"/>
                  <w:shd w:val="clear" w:color="auto" w:fill="DEEAF6"/>
                  <w:vAlign w:val="center"/>
                </w:tcPr>
                <w:p w14:paraId="167FDC35" w14:textId="40273908" w:rsidR="000A24D7" w:rsidRDefault="000A24D7" w:rsidP="000A24D7">
                  <w:pPr>
                    <w:autoSpaceDE w:val="0"/>
                    <w:autoSpaceDN w:val="0"/>
                    <w:adjustRightInd w:val="0"/>
                    <w:jc w:val="center"/>
                    <w:rPr>
                      <w:rFonts w:ascii="游ゴシック" w:eastAsia="游ゴシック" w:hAnsi="游ゴシック" w:cs="ＭＳ 明朝"/>
                      <w:b/>
                      <w:bCs/>
                      <w:kern w:val="0"/>
                      <w:sz w:val="18"/>
                      <w:szCs w:val="18"/>
                    </w:rPr>
                  </w:pPr>
                  <w:r w:rsidRPr="000A24D7">
                    <w:rPr>
                      <w:rFonts w:ascii="游ゴシック" w:eastAsia="游ゴシック" w:hAnsi="游ゴシック" w:cs="ＭＳ 明朝" w:hint="eastAsia"/>
                      <w:b/>
                      <w:bCs/>
                      <w:kern w:val="0"/>
                      <w:sz w:val="18"/>
                      <w:szCs w:val="18"/>
                    </w:rPr>
                    <w:t xml:space="preserve">チーム平均達成率 </w:t>
                  </w:r>
                </w:p>
              </w:tc>
            </w:tr>
            <w:tr w:rsidR="000A24D7" w14:paraId="760BD4D4" w14:textId="77777777" w:rsidTr="000A24D7">
              <w:tc>
                <w:tcPr>
                  <w:tcW w:w="1328" w:type="dxa"/>
                  <w:shd w:val="clear" w:color="auto" w:fill="auto"/>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985" w:type="dxa"/>
                  <w:shd w:val="clear" w:color="auto" w:fill="auto"/>
                  <w:vAlign w:val="center"/>
                </w:tcPr>
                <w:p w14:paraId="5A039650" w14:textId="735087C2" w:rsidR="000A24D7" w:rsidRPr="00802651" w:rsidRDefault="00C54B2B"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75</w:t>
                  </w:r>
                </w:p>
              </w:tc>
              <w:tc>
                <w:tcPr>
                  <w:tcW w:w="1417" w:type="dxa"/>
                  <w:vAlign w:val="center"/>
                </w:tcPr>
                <w:p w14:paraId="56AA581F" w14:textId="69011E2F" w:rsidR="000A24D7" w:rsidRPr="00802651" w:rsidRDefault="00C54B2B"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105</w:t>
                  </w:r>
                  <w:r w:rsidR="000A24D7">
                    <w:rPr>
                      <w:rFonts w:ascii="游ゴシック" w:eastAsia="游ゴシック" w:hAnsi="游ゴシック" w:cs="ＭＳ 明朝" w:hint="eastAsia"/>
                      <w:bCs/>
                      <w:kern w:val="0"/>
                      <w:sz w:val="18"/>
                      <w:szCs w:val="18"/>
                    </w:rPr>
                    <w:t>%</w:t>
                  </w:r>
                </w:p>
              </w:tc>
              <w:tc>
                <w:tcPr>
                  <w:tcW w:w="1701" w:type="dxa"/>
                  <w:vAlign w:val="center"/>
                </w:tcPr>
                <w:p w14:paraId="60038E07" w14:textId="5A74D934"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9</w:t>
                  </w:r>
                  <w:r w:rsidR="00C54B2B">
                    <w:rPr>
                      <w:rFonts w:ascii="游ゴシック" w:eastAsia="游ゴシック" w:hAnsi="游ゴシック" w:cs="ＭＳ 明朝" w:hint="eastAsia"/>
                      <w:bCs/>
                      <w:kern w:val="0"/>
                      <w:sz w:val="18"/>
                      <w:szCs w:val="18"/>
                    </w:rPr>
                    <w:t>5</w:t>
                  </w:r>
                  <w:r w:rsidRPr="00802651">
                    <w:rPr>
                      <w:rFonts w:ascii="游ゴシック" w:eastAsia="游ゴシック" w:hAnsi="游ゴシック" w:cs="ＭＳ 明朝" w:hint="eastAsia"/>
                      <w:bCs/>
                      <w:kern w:val="0"/>
                      <w:sz w:val="18"/>
                      <w:szCs w:val="18"/>
                    </w:rPr>
                    <w:t>％</w:t>
                  </w:r>
                </w:p>
              </w:tc>
            </w:tr>
            <w:tr w:rsidR="000A24D7" w14:paraId="770CF8A5" w14:textId="77777777" w:rsidTr="000A24D7">
              <w:tc>
                <w:tcPr>
                  <w:tcW w:w="1328" w:type="dxa"/>
                  <w:shd w:val="clear" w:color="auto" w:fill="auto"/>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985" w:type="dxa"/>
                  <w:shd w:val="clear" w:color="auto" w:fill="auto"/>
                  <w:vAlign w:val="center"/>
                </w:tcPr>
                <w:p w14:paraId="34956FFD" w14:textId="0FE699E0" w:rsidR="000A24D7" w:rsidRPr="00802651" w:rsidRDefault="00C54B2B" w:rsidP="009C1472">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92</w:t>
                  </w:r>
                </w:p>
              </w:tc>
              <w:tc>
                <w:tcPr>
                  <w:tcW w:w="1417" w:type="dxa"/>
                  <w:vAlign w:val="center"/>
                </w:tcPr>
                <w:p w14:paraId="63F6092F" w14:textId="035A8236"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C54B2B">
                    <w:rPr>
                      <w:rFonts w:ascii="游ゴシック" w:eastAsia="游ゴシック" w:hAnsi="游ゴシック" w:cs="ＭＳ 明朝" w:hint="eastAsia"/>
                      <w:bCs/>
                      <w:kern w:val="0"/>
                      <w:sz w:val="18"/>
                      <w:szCs w:val="18"/>
                    </w:rPr>
                    <w:t>20</w:t>
                  </w:r>
                  <w:r>
                    <w:rPr>
                      <w:rFonts w:ascii="游ゴシック" w:eastAsia="游ゴシック" w:hAnsi="游ゴシック" w:cs="ＭＳ 明朝" w:hint="eastAsia"/>
                      <w:bCs/>
                      <w:kern w:val="0"/>
                      <w:sz w:val="18"/>
                      <w:szCs w:val="18"/>
                    </w:rPr>
                    <w:t>%</w:t>
                  </w:r>
                </w:p>
              </w:tc>
              <w:tc>
                <w:tcPr>
                  <w:tcW w:w="1701" w:type="dxa"/>
                  <w:vAlign w:val="center"/>
                </w:tcPr>
                <w:p w14:paraId="70CB4CD4" w14:textId="46DBC51F"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Pr>
                      <w:rFonts w:ascii="游ゴシック" w:eastAsia="游ゴシック" w:hAnsi="游ゴシック" w:cs="ＭＳ 明朝" w:hint="eastAsia"/>
                      <w:bCs/>
                      <w:kern w:val="0"/>
                      <w:sz w:val="18"/>
                      <w:szCs w:val="18"/>
                    </w:rPr>
                    <w:t>00</w:t>
                  </w:r>
                  <w:r w:rsidRPr="00802651">
                    <w:rPr>
                      <w:rFonts w:ascii="游ゴシック" w:eastAsia="游ゴシック" w:hAnsi="游ゴシック" w:cs="ＭＳ 明朝" w:hint="eastAsia"/>
                      <w:bCs/>
                      <w:kern w:val="0"/>
                      <w:sz w:val="18"/>
                      <w:szCs w:val="18"/>
                    </w:rPr>
                    <w:t>％</w:t>
                  </w:r>
                </w:p>
              </w:tc>
            </w:tr>
            <w:tr w:rsidR="000A24D7" w14:paraId="17E38D1E" w14:textId="77777777" w:rsidTr="000A24D7">
              <w:tc>
                <w:tcPr>
                  <w:tcW w:w="1328" w:type="dxa"/>
                  <w:shd w:val="clear" w:color="auto" w:fill="auto"/>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985" w:type="dxa"/>
                  <w:shd w:val="clear" w:color="auto" w:fill="auto"/>
                  <w:vAlign w:val="center"/>
                </w:tcPr>
                <w:p w14:paraId="2716B6D7" w14:textId="0665FF97" w:rsidR="000A24D7" w:rsidRPr="00802651" w:rsidRDefault="00C54B2B" w:rsidP="009C1472">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110</w:t>
                  </w:r>
                </w:p>
              </w:tc>
              <w:tc>
                <w:tcPr>
                  <w:tcW w:w="1417" w:type="dxa"/>
                  <w:vAlign w:val="center"/>
                </w:tcPr>
                <w:p w14:paraId="2D7124C8" w14:textId="61E6C286"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C54B2B">
                    <w:rPr>
                      <w:rFonts w:ascii="游ゴシック" w:eastAsia="游ゴシック" w:hAnsi="游ゴシック" w:cs="ＭＳ 明朝" w:hint="eastAsia"/>
                      <w:bCs/>
                      <w:kern w:val="0"/>
                      <w:sz w:val="18"/>
                      <w:szCs w:val="18"/>
                    </w:rPr>
                    <w:t>35</w:t>
                  </w:r>
                  <w:r>
                    <w:rPr>
                      <w:rFonts w:ascii="游ゴシック" w:eastAsia="游ゴシック" w:hAnsi="游ゴシック" w:cs="ＭＳ 明朝" w:hint="eastAsia"/>
                      <w:bCs/>
                      <w:kern w:val="0"/>
                      <w:sz w:val="18"/>
                      <w:szCs w:val="18"/>
                    </w:rPr>
                    <w:t>%</w:t>
                  </w:r>
                </w:p>
              </w:tc>
              <w:tc>
                <w:tcPr>
                  <w:tcW w:w="1701" w:type="dxa"/>
                  <w:vAlign w:val="center"/>
                </w:tcPr>
                <w:p w14:paraId="689CDBDA" w14:textId="33F0C13A"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C54B2B">
                    <w:rPr>
                      <w:rFonts w:ascii="游ゴシック" w:eastAsia="游ゴシック" w:hAnsi="游ゴシック" w:cs="ＭＳ 明朝" w:hint="eastAsia"/>
                      <w:bCs/>
                      <w:kern w:val="0"/>
                      <w:sz w:val="18"/>
                      <w:szCs w:val="18"/>
                    </w:rPr>
                    <w:t>1</w:t>
                  </w:r>
                  <w:r>
                    <w:rPr>
                      <w:rFonts w:ascii="游ゴシック" w:eastAsia="游ゴシック" w:hAnsi="游ゴシック" w:cs="ＭＳ 明朝" w:hint="eastAsia"/>
                      <w:bCs/>
                      <w:kern w:val="0"/>
                      <w:sz w:val="18"/>
                      <w:szCs w:val="18"/>
                    </w:rPr>
                    <w:t>5</w:t>
                  </w:r>
                  <w:r w:rsidRPr="00802651">
                    <w:rPr>
                      <w:rFonts w:ascii="游ゴシック" w:eastAsia="游ゴシック" w:hAnsi="游ゴシック" w:cs="ＭＳ 明朝" w:hint="eastAsia"/>
                      <w:bCs/>
                      <w:kern w:val="0"/>
                      <w:sz w:val="18"/>
                      <w:szCs w:val="18"/>
                    </w:rPr>
                    <w:t>％</w:t>
                  </w:r>
                </w:p>
              </w:tc>
            </w:tr>
            <w:tr w:rsidR="000A24D7" w:rsidRPr="00802651" w14:paraId="1AD26B02" w14:textId="77777777" w:rsidTr="000A24D7">
              <w:tc>
                <w:tcPr>
                  <w:tcW w:w="1328" w:type="dxa"/>
                  <w:shd w:val="clear" w:color="auto" w:fill="auto"/>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985" w:type="dxa"/>
                  <w:shd w:val="clear" w:color="auto" w:fill="auto"/>
                  <w:vAlign w:val="center"/>
                </w:tcPr>
                <w:p w14:paraId="73521EFB" w14:textId="53A05560" w:rsidR="000A24D7" w:rsidRPr="00802651" w:rsidRDefault="00C54B2B" w:rsidP="009C1472">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125</w:t>
                  </w:r>
                </w:p>
              </w:tc>
              <w:tc>
                <w:tcPr>
                  <w:tcW w:w="1417" w:type="dxa"/>
                  <w:vAlign w:val="center"/>
                </w:tcPr>
                <w:p w14:paraId="307B7FDE" w14:textId="6D9B4C89"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C54B2B">
                    <w:rPr>
                      <w:rFonts w:ascii="游ゴシック" w:eastAsia="游ゴシック" w:hAnsi="游ゴシック" w:cs="ＭＳ 明朝" w:hint="eastAsia"/>
                      <w:bCs/>
                      <w:kern w:val="0"/>
                      <w:sz w:val="18"/>
                      <w:szCs w:val="18"/>
                    </w:rPr>
                    <w:t>45</w:t>
                  </w:r>
                  <w:r>
                    <w:rPr>
                      <w:rFonts w:ascii="游ゴシック" w:eastAsia="游ゴシック" w:hAnsi="游ゴシック" w:cs="ＭＳ 明朝" w:hint="eastAsia"/>
                      <w:bCs/>
                      <w:kern w:val="0"/>
                      <w:sz w:val="18"/>
                      <w:szCs w:val="18"/>
                    </w:rPr>
                    <w:t>%</w:t>
                  </w:r>
                </w:p>
              </w:tc>
              <w:tc>
                <w:tcPr>
                  <w:tcW w:w="1701" w:type="dxa"/>
                  <w:vAlign w:val="center"/>
                </w:tcPr>
                <w:p w14:paraId="0CE524B8" w14:textId="27574619"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bCs/>
                      <w:kern w:val="0"/>
                      <w:sz w:val="18"/>
                      <w:szCs w:val="18"/>
                    </w:rPr>
                    <w:t>1</w:t>
                  </w:r>
                  <w:r>
                    <w:rPr>
                      <w:rFonts w:ascii="游ゴシック" w:eastAsia="游ゴシック" w:hAnsi="游ゴシック" w:cs="ＭＳ 明朝" w:hint="eastAsia"/>
                      <w:bCs/>
                      <w:kern w:val="0"/>
                      <w:sz w:val="18"/>
                      <w:szCs w:val="18"/>
                    </w:rPr>
                    <w:t>1</w:t>
                  </w:r>
                  <w:r w:rsidR="00C54B2B">
                    <w:rPr>
                      <w:rFonts w:ascii="游ゴシック" w:eastAsia="游ゴシック" w:hAnsi="游ゴシック" w:cs="ＭＳ 明朝" w:hint="eastAsia"/>
                      <w:bCs/>
                      <w:kern w:val="0"/>
                      <w:sz w:val="18"/>
                      <w:szCs w:val="18"/>
                    </w:rPr>
                    <w:t>5</w:t>
                  </w:r>
                  <w:r w:rsidRPr="00802651">
                    <w:rPr>
                      <w:rFonts w:ascii="游ゴシック" w:eastAsia="游ゴシック" w:hAnsi="游ゴシック" w:cs="ＭＳ 明朝" w:hint="eastAsia"/>
                      <w:bCs/>
                      <w:kern w:val="0"/>
                      <w:sz w:val="18"/>
                      <w:szCs w:val="18"/>
                    </w:rPr>
                    <w:t>％</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4DBC7818" w:rsidR="00A94FEB" w:rsidRPr="000F69D5" w:rsidRDefault="000A24D7" w:rsidP="00BB0A46">
            <w:pPr>
              <w:ind w:left="200" w:hangingChars="100" w:hanging="200"/>
              <w:rPr>
                <w:rFonts w:ascii="游ゴシック" w:eastAsia="游ゴシック" w:hAnsi="游ゴシック" w:cs="ＭＳ 明朝"/>
                <w:kern w:val="0"/>
                <w:sz w:val="20"/>
                <w:szCs w:val="20"/>
              </w:rPr>
            </w:pPr>
            <w:r w:rsidRPr="000A24D7">
              <w:rPr>
                <w:rFonts w:ascii="游ゴシック" w:eastAsia="游ゴシック" w:hAnsi="游ゴシック" w:cs="ＭＳ 明朝" w:hint="eastAsia"/>
                <w:b/>
                <w:kern w:val="0"/>
                <w:sz w:val="20"/>
                <w:szCs w:val="20"/>
                <w:u w:val="single"/>
              </w:rPr>
              <w:t>潜在的な不安を顕在化させる「未来設計ヒアリング」</w:t>
            </w:r>
            <w:r w:rsidR="000F69D5">
              <w:rPr>
                <w:rFonts w:ascii="游ゴシック" w:eastAsia="游ゴシック" w:hAnsi="游ゴシック" w:cs="ＭＳ 明朝"/>
                <w:b/>
                <w:kern w:val="0"/>
                <w:sz w:val="20"/>
                <w:szCs w:val="20"/>
                <w:u w:val="single"/>
              </w:rPr>
              <w:br/>
            </w:r>
            <w:r w:rsidRPr="000A24D7">
              <w:rPr>
                <w:rFonts w:ascii="游ゴシック" w:eastAsia="游ゴシック" w:hAnsi="游ゴシック" w:cs="ＭＳ 明朝" w:hint="eastAsia"/>
                <w:kern w:val="0"/>
                <w:sz w:val="20"/>
                <w:szCs w:val="20"/>
              </w:rPr>
              <w:t>生命保険営業において、顧客が真のニーズ（将来の漠然とした不安）を語ってくれないことが最大の課題でした。この課題に対し、私は「現在の資産状況」ではなく、「5年後、10年後のなりたい生活と、その達成を阻む要因」に焦点を当てた独自設計のヒアリングシートを導入しました。ヒアリングでは、お客様の不安を言語化し、金額として可視化するプロセスを徹底した結果、顧客は初めてリスクを自分事として認識し、信頼度が飛躍的に向上しました。この「未来設計ヒアリング」を導入した結果、紹介経由の新規契約比率が50%を突破し、既契約者向けのリモデル契約率も社内最高水準に達しました。結果として、3年連続でMDRT基準を達成するなど、安定的に高い実績を上げることに成功しました。</w:t>
            </w:r>
          </w:p>
        </w:tc>
      </w:tr>
    </w:tbl>
    <w:p w14:paraId="5482A03B" w14:textId="77777777" w:rsidR="00F65ECD" w:rsidRDefault="00F65ECD" w:rsidP="00F65ECD">
      <w:pPr>
        <w:rPr>
          <w:rFonts w:ascii="游ゴシック" w:eastAsia="游ゴシック" w:hAnsi="游ゴシック" w:cs="ＭＳ 明朝"/>
          <w:b/>
          <w:bCs/>
          <w:kern w:val="0"/>
          <w:sz w:val="20"/>
          <w:szCs w:val="20"/>
        </w:rPr>
      </w:pPr>
    </w:p>
    <w:p w14:paraId="3249D000" w14:textId="7777777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54BD5E4D" w14:textId="5B51FF6B" w:rsidR="00CA7820" w:rsidRDefault="00CA7820" w:rsidP="0057182B">
      <w:pPr>
        <w:numPr>
          <w:ilvl w:val="1"/>
          <w:numId w:val="1"/>
        </w:numPr>
        <w:rPr>
          <w:rFonts w:ascii="游ゴシック" w:eastAsia="游ゴシック" w:hAnsi="游ゴシック" w:cs="ＭＳ 明朝"/>
          <w:kern w:val="0"/>
          <w:sz w:val="20"/>
          <w:szCs w:val="20"/>
        </w:rPr>
      </w:pPr>
      <w:r w:rsidRPr="00842A2A">
        <w:rPr>
          <w:rFonts w:ascii="游ゴシック" w:eastAsia="游ゴシック" w:hAnsi="游ゴシック" w:cs="ＭＳ 明朝" w:hint="eastAsia"/>
          <w:kern w:val="0"/>
          <w:sz w:val="20"/>
          <w:szCs w:val="20"/>
        </w:rPr>
        <w:t>資料作成：</w:t>
      </w:r>
      <w:r w:rsidR="00C54B2B" w:rsidRPr="00C54B2B">
        <w:rPr>
          <w:rFonts w:ascii="游ゴシック" w:eastAsia="游ゴシック" w:hAnsi="游ゴシック" w:cs="ＭＳ 明朝" w:hint="eastAsia"/>
          <w:kern w:val="0"/>
          <w:sz w:val="20"/>
          <w:szCs w:val="20"/>
        </w:rPr>
        <w:t>Microsoft Excel (データ集計), PowerPoint</w:t>
      </w:r>
    </w:p>
    <w:p w14:paraId="7F524051" w14:textId="4628F979" w:rsidR="00F22712" w:rsidRDefault="00F22712" w:rsidP="000F69D5">
      <w:pPr>
        <w:numPr>
          <w:ilvl w:val="1"/>
          <w:numId w:val="1"/>
        </w:numPr>
        <w:rPr>
          <w:rFonts w:ascii="游ゴシック" w:eastAsia="游ゴシック" w:hAnsi="游ゴシック" w:cs="ＭＳ 明朝"/>
          <w:kern w:val="0"/>
          <w:sz w:val="20"/>
          <w:szCs w:val="20"/>
        </w:rPr>
      </w:pPr>
      <w:r w:rsidRPr="00F22712">
        <w:rPr>
          <w:rFonts w:ascii="游ゴシック" w:eastAsia="游ゴシック" w:hAnsi="游ゴシック" w:cs="ＭＳ 明朝" w:hint="eastAsia"/>
          <w:kern w:val="0"/>
          <w:sz w:val="20"/>
          <w:szCs w:val="20"/>
        </w:rPr>
        <w:t>顧客管理：</w:t>
      </w:r>
      <w:r w:rsidR="00C54B2B" w:rsidRPr="00C54B2B">
        <w:rPr>
          <w:rFonts w:ascii="游ゴシック" w:eastAsia="游ゴシック" w:hAnsi="游ゴシック" w:cs="ＭＳ 明朝" w:hint="eastAsia"/>
          <w:kern w:val="0"/>
          <w:sz w:val="20"/>
          <w:szCs w:val="20"/>
        </w:rPr>
        <w:t>Salesforce, 専用CRMシステム（進捗管理、アポイント調整）</w:t>
      </w:r>
    </w:p>
    <w:p w14:paraId="2330CF99" w14:textId="36ED7AB1" w:rsidR="00C03492" w:rsidRDefault="00C54B2B" w:rsidP="000F69D5">
      <w:pPr>
        <w:numPr>
          <w:ilvl w:val="1"/>
          <w:numId w:val="1"/>
        </w:numPr>
        <w:rPr>
          <w:rFonts w:ascii="游ゴシック" w:eastAsia="游ゴシック" w:hAnsi="游ゴシック" w:cs="ＭＳ 明朝"/>
          <w:kern w:val="0"/>
          <w:sz w:val="20"/>
          <w:szCs w:val="20"/>
        </w:rPr>
      </w:pPr>
      <w:r>
        <w:rPr>
          <w:rFonts w:ascii="游ゴシック" w:eastAsia="游ゴシック" w:hAnsi="游ゴシック" w:cs="ＭＳ 明朝" w:hint="eastAsia"/>
          <w:kern w:val="0"/>
          <w:sz w:val="20"/>
          <w:szCs w:val="20"/>
        </w:rPr>
        <w:t>商品検索：</w:t>
      </w:r>
      <w:r w:rsidRPr="00C54B2B">
        <w:rPr>
          <w:rFonts w:ascii="游ゴシック" w:eastAsia="游ゴシック" w:hAnsi="游ゴシック" w:cs="ＭＳ 明朝" w:hint="eastAsia"/>
          <w:kern w:val="0"/>
          <w:sz w:val="20"/>
          <w:szCs w:val="20"/>
        </w:rPr>
        <w:t>代理店専用の商品比較・シミュレーションシステム</w:t>
      </w:r>
    </w:p>
    <w:p w14:paraId="562E8945" w14:textId="0E908C0F" w:rsidR="00DE3E50" w:rsidRPr="0057182B" w:rsidRDefault="00DE3E50" w:rsidP="0057182B">
      <w:pPr>
        <w:numPr>
          <w:ilvl w:val="1"/>
          <w:numId w:val="1"/>
        </w:numPr>
        <w:rPr>
          <w:rFonts w:ascii="游ゴシック" w:eastAsia="游ゴシック" w:hAnsi="游ゴシック" w:cs="ＭＳ 明朝"/>
          <w:kern w:val="0"/>
          <w:sz w:val="20"/>
          <w:szCs w:val="20"/>
        </w:rPr>
      </w:pPr>
      <w:r>
        <w:rPr>
          <w:rFonts w:ascii="游ゴシック" w:eastAsia="游ゴシック" w:hAnsi="游ゴシック" w:cs="ＭＳ 明朝" w:hint="eastAsia"/>
          <w:kern w:val="0"/>
          <w:sz w:val="20"/>
          <w:szCs w:val="20"/>
        </w:rPr>
        <w:t>オンライン</w:t>
      </w:r>
      <w:r w:rsidR="00C03492">
        <w:rPr>
          <w:rFonts w:ascii="游ゴシック" w:eastAsia="游ゴシック" w:hAnsi="游ゴシック" w:cs="ＭＳ 明朝" w:hint="eastAsia"/>
          <w:kern w:val="0"/>
          <w:sz w:val="20"/>
          <w:szCs w:val="20"/>
        </w:rPr>
        <w:t>面談</w:t>
      </w:r>
      <w:r>
        <w:rPr>
          <w:rFonts w:ascii="游ゴシック" w:eastAsia="游ゴシック" w:hAnsi="游ゴシック" w:cs="ＭＳ 明朝" w:hint="eastAsia"/>
          <w:kern w:val="0"/>
          <w:sz w:val="20"/>
          <w:szCs w:val="20"/>
        </w:rPr>
        <w:t>：</w:t>
      </w:r>
      <w:r w:rsidR="00C54B2B" w:rsidRPr="00C54B2B">
        <w:rPr>
          <w:rFonts w:ascii="游ゴシック" w:eastAsia="游ゴシック" w:hAnsi="游ゴシック" w:cs="ＭＳ 明朝" w:hint="eastAsia"/>
          <w:kern w:val="0"/>
          <w:sz w:val="20"/>
          <w:szCs w:val="20"/>
        </w:rPr>
        <w:t>Zoom, Teams（遠方顧客対応、時間短縮）</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743C730C" w14:textId="7F9B7F77" w:rsidR="00C54B2B" w:rsidRPr="00C54B2B" w:rsidRDefault="00C54B2B" w:rsidP="00C54B2B">
      <w:pPr>
        <w:numPr>
          <w:ilvl w:val="1"/>
          <w:numId w:val="1"/>
        </w:numPr>
        <w:rPr>
          <w:rFonts w:ascii="游ゴシック" w:eastAsia="游ゴシック" w:hAnsi="游ゴシック" w:cs="ＭＳ 明朝" w:hint="eastAsia"/>
          <w:kern w:val="0"/>
          <w:sz w:val="20"/>
          <w:szCs w:val="20"/>
        </w:rPr>
      </w:pPr>
      <w:r w:rsidRPr="00C54B2B">
        <w:rPr>
          <w:rFonts w:ascii="游ゴシック" w:eastAsia="游ゴシック" w:hAnsi="游ゴシック" w:cs="ＭＳ 明朝" w:hint="eastAsia"/>
          <w:kern w:val="0"/>
          <w:sz w:val="20"/>
          <w:szCs w:val="20"/>
        </w:rPr>
        <w:t>生命保険・損害保険の両方を扱えるマルチラインの専門知識と提案経験</w:t>
      </w:r>
    </w:p>
    <w:p w14:paraId="50398EE3" w14:textId="467091C0" w:rsidR="00C54B2B" w:rsidRPr="00C54B2B" w:rsidRDefault="00C54B2B" w:rsidP="00C54B2B">
      <w:pPr>
        <w:numPr>
          <w:ilvl w:val="1"/>
          <w:numId w:val="1"/>
        </w:numPr>
        <w:rPr>
          <w:rFonts w:ascii="游ゴシック" w:eastAsia="游ゴシック" w:hAnsi="游ゴシック" w:cs="ＭＳ 明朝" w:hint="eastAsia"/>
          <w:kern w:val="0"/>
          <w:sz w:val="20"/>
          <w:szCs w:val="20"/>
        </w:rPr>
      </w:pPr>
      <w:r w:rsidRPr="00C54B2B">
        <w:rPr>
          <w:rFonts w:ascii="游ゴシック" w:eastAsia="游ゴシック" w:hAnsi="游ゴシック" w:cs="ＭＳ 明朝" w:hint="eastAsia"/>
          <w:kern w:val="0"/>
          <w:sz w:val="20"/>
          <w:szCs w:val="20"/>
        </w:rPr>
        <w:t>反響・来店型における初回面談での高い信頼構築とクロージングスキル</w:t>
      </w:r>
    </w:p>
    <w:p w14:paraId="5F55AC45" w14:textId="6AA66EF3" w:rsidR="00C54B2B" w:rsidRPr="00C54B2B" w:rsidRDefault="00C54B2B" w:rsidP="00C54B2B">
      <w:pPr>
        <w:numPr>
          <w:ilvl w:val="1"/>
          <w:numId w:val="1"/>
        </w:numPr>
        <w:rPr>
          <w:rFonts w:ascii="游ゴシック" w:eastAsia="游ゴシック" w:hAnsi="游ゴシック" w:cs="ＭＳ 明朝" w:hint="eastAsia"/>
          <w:kern w:val="0"/>
          <w:sz w:val="20"/>
          <w:szCs w:val="20"/>
        </w:rPr>
      </w:pPr>
      <w:r w:rsidRPr="00C54B2B">
        <w:rPr>
          <w:rFonts w:ascii="游ゴシック" w:eastAsia="游ゴシック" w:hAnsi="游ゴシック" w:cs="ＭＳ 明朝" w:hint="eastAsia"/>
          <w:kern w:val="0"/>
          <w:sz w:val="20"/>
          <w:szCs w:val="20"/>
        </w:rPr>
        <w:t>複数商品を比較検討し、顧客の真のニーズに合致した最適解を導く能力</w:t>
      </w:r>
    </w:p>
    <w:p w14:paraId="557FC979" w14:textId="3E2C1706" w:rsidR="00C54B2B" w:rsidRPr="00C54B2B" w:rsidRDefault="00C54B2B" w:rsidP="00C54B2B">
      <w:pPr>
        <w:numPr>
          <w:ilvl w:val="1"/>
          <w:numId w:val="1"/>
        </w:numPr>
        <w:rPr>
          <w:rFonts w:ascii="游ゴシック" w:eastAsia="游ゴシック" w:hAnsi="游ゴシック" w:cs="ＭＳ 明朝" w:hint="eastAsia"/>
          <w:kern w:val="0"/>
          <w:sz w:val="20"/>
          <w:szCs w:val="20"/>
        </w:rPr>
      </w:pPr>
      <w:r w:rsidRPr="00C54B2B">
        <w:rPr>
          <w:rFonts w:ascii="游ゴシック" w:eastAsia="游ゴシック" w:hAnsi="游ゴシック" w:cs="ＭＳ 明朝" w:hint="eastAsia"/>
          <w:kern w:val="0"/>
          <w:sz w:val="20"/>
          <w:szCs w:val="20"/>
        </w:rPr>
        <w:t>FP知識を活用したキャッシュフローベースの総合的なライフコンサルティング</w:t>
      </w:r>
    </w:p>
    <w:p w14:paraId="3BD9DC92" w14:textId="22610EE2" w:rsidR="00C03492" w:rsidRPr="00C03492" w:rsidRDefault="00C54B2B" w:rsidP="00C54B2B">
      <w:pPr>
        <w:numPr>
          <w:ilvl w:val="1"/>
          <w:numId w:val="1"/>
        </w:numPr>
        <w:rPr>
          <w:rFonts w:ascii="游ゴシック" w:eastAsia="游ゴシック" w:hAnsi="游ゴシック" w:cs="ＭＳ 明朝"/>
          <w:b/>
          <w:bCs/>
          <w:kern w:val="0"/>
          <w:sz w:val="20"/>
          <w:szCs w:val="20"/>
        </w:rPr>
      </w:pPr>
      <w:r w:rsidRPr="00C54B2B">
        <w:rPr>
          <w:rFonts w:ascii="游ゴシック" w:eastAsia="游ゴシック" w:hAnsi="游ゴシック" w:cs="ＭＳ 明朝" w:hint="eastAsia"/>
          <w:kern w:val="0"/>
          <w:sz w:val="20"/>
          <w:szCs w:val="20"/>
        </w:rPr>
        <w:t>コンプライアンス意識の高い環境下での適切な商品説明・契約手続き遂行</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7F0E193F" w14:textId="53AE4E10" w:rsidR="00C54B2B" w:rsidRPr="00C54B2B" w:rsidRDefault="00C54B2B" w:rsidP="00C54B2B">
      <w:pPr>
        <w:numPr>
          <w:ilvl w:val="1"/>
          <w:numId w:val="2"/>
        </w:numPr>
        <w:rPr>
          <w:rFonts w:ascii="游ゴシック" w:eastAsia="游ゴシック" w:hAnsi="游ゴシック" w:cs="ＭＳ 明朝"/>
          <w:kern w:val="0"/>
          <w:sz w:val="20"/>
          <w:szCs w:val="20"/>
        </w:rPr>
      </w:pPr>
      <w:r w:rsidRPr="00C54B2B">
        <w:rPr>
          <w:rFonts w:ascii="游ゴシック" w:eastAsia="游ゴシック" w:hAnsi="游ゴシック" w:cs="ＭＳ 明朝" w:hint="eastAsia"/>
          <w:kern w:val="0"/>
          <w:sz w:val="20"/>
          <w:szCs w:val="20"/>
        </w:rPr>
        <w:t xml:space="preserve">生命保険募集人資格 </w:t>
      </w:r>
    </w:p>
    <w:p w14:paraId="19C303D3" w14:textId="09106FF9" w:rsidR="00C54B2B" w:rsidRPr="00C54B2B" w:rsidRDefault="00C54B2B" w:rsidP="00C54B2B">
      <w:pPr>
        <w:numPr>
          <w:ilvl w:val="1"/>
          <w:numId w:val="2"/>
        </w:numPr>
        <w:rPr>
          <w:rFonts w:ascii="游ゴシック" w:eastAsia="游ゴシック" w:hAnsi="游ゴシック" w:cs="ＭＳ 明朝" w:hint="eastAsia"/>
          <w:kern w:val="0"/>
          <w:sz w:val="20"/>
          <w:szCs w:val="20"/>
        </w:rPr>
      </w:pPr>
      <w:r w:rsidRPr="00C54B2B">
        <w:rPr>
          <w:rFonts w:ascii="游ゴシック" w:eastAsia="游ゴシック" w:hAnsi="游ゴシック" w:cs="ＭＳ 明朝" w:hint="eastAsia"/>
          <w:kern w:val="0"/>
          <w:sz w:val="20"/>
          <w:szCs w:val="20"/>
        </w:rPr>
        <w:t xml:space="preserve">損害保険募集人資格 </w:t>
      </w:r>
    </w:p>
    <w:p w14:paraId="01216C58" w14:textId="3DD08E0D" w:rsidR="00C54B2B" w:rsidRPr="00C54B2B" w:rsidRDefault="00C54B2B" w:rsidP="00C54B2B">
      <w:pPr>
        <w:numPr>
          <w:ilvl w:val="1"/>
          <w:numId w:val="2"/>
        </w:numPr>
        <w:rPr>
          <w:rFonts w:ascii="游ゴシック" w:eastAsia="游ゴシック" w:hAnsi="游ゴシック" w:cs="ＭＳ 明朝" w:hint="eastAsia"/>
          <w:kern w:val="0"/>
          <w:sz w:val="20"/>
          <w:szCs w:val="20"/>
        </w:rPr>
      </w:pPr>
      <w:r w:rsidRPr="00C54B2B">
        <w:rPr>
          <w:rFonts w:ascii="游ゴシック" w:eastAsia="游ゴシック" w:hAnsi="游ゴシック" w:cs="ＭＳ 明朝" w:hint="eastAsia"/>
          <w:kern w:val="0"/>
          <w:sz w:val="20"/>
          <w:szCs w:val="20"/>
        </w:rPr>
        <w:lastRenderedPageBreak/>
        <w:t>ファイナンシャル・プランニング技能士2級（FP2級）</w:t>
      </w:r>
    </w:p>
    <w:p w14:paraId="2EAE36DE" w14:textId="04E66D81" w:rsidR="00914462" w:rsidRPr="00C47608" w:rsidRDefault="00C54B2B" w:rsidP="00C54B2B">
      <w:pPr>
        <w:numPr>
          <w:ilvl w:val="1"/>
          <w:numId w:val="2"/>
        </w:numPr>
        <w:rPr>
          <w:rFonts w:ascii="游ゴシック" w:eastAsia="游ゴシック" w:hAnsi="游ゴシック" w:cs="ＭＳ 明朝"/>
          <w:b/>
          <w:bCs/>
          <w:kern w:val="0"/>
          <w:sz w:val="20"/>
          <w:szCs w:val="20"/>
        </w:rPr>
      </w:pPr>
      <w:r w:rsidRPr="00C54B2B">
        <w:rPr>
          <w:rFonts w:ascii="游ゴシック" w:eastAsia="游ゴシック" w:hAnsi="游ゴシック" w:cs="ＭＳ 明朝" w:hint="eastAsia"/>
          <w:kern w:val="0"/>
          <w:sz w:val="20"/>
          <w:szCs w:val="20"/>
        </w:rPr>
        <w:t>普通自動車運転免許</w:t>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4BB5464" w14:textId="581BB7ED" w:rsidR="00C03492" w:rsidRDefault="00C54B2B" w:rsidP="00DE3E50">
      <w:pPr>
        <w:ind w:left="420"/>
        <w:rPr>
          <w:rFonts w:ascii="游ゴシック" w:eastAsia="游ゴシック" w:hAnsi="游ゴシック" w:cs="ＭＳ 明朝"/>
          <w:b/>
          <w:kern w:val="0"/>
          <w:sz w:val="20"/>
          <w:szCs w:val="20"/>
          <w:u w:val="single"/>
        </w:rPr>
      </w:pPr>
      <w:r w:rsidRPr="00C54B2B">
        <w:rPr>
          <w:rFonts w:ascii="游ゴシック" w:eastAsia="游ゴシック" w:hAnsi="游ゴシック" w:cs="ＭＳ 明朝" w:hint="eastAsia"/>
          <w:b/>
          <w:kern w:val="0"/>
          <w:sz w:val="20"/>
          <w:szCs w:val="20"/>
          <w:u w:val="single"/>
        </w:rPr>
        <w:t>「中立性」を貫き、信頼の土台を築くマインド</w:t>
      </w:r>
    </w:p>
    <w:p w14:paraId="4361AABB" w14:textId="63538ED5" w:rsidR="00C54B2B" w:rsidRDefault="00C54B2B" w:rsidP="00C54B2B">
      <w:pPr>
        <w:ind w:left="420"/>
        <w:rPr>
          <w:rFonts w:ascii="游ゴシック" w:eastAsia="游ゴシック" w:hAnsi="游ゴシック" w:cs="ＭＳ 明朝"/>
          <w:kern w:val="0"/>
          <w:sz w:val="20"/>
          <w:szCs w:val="20"/>
        </w:rPr>
      </w:pPr>
      <w:r w:rsidRPr="00C54B2B">
        <w:rPr>
          <w:rFonts w:ascii="游ゴシック" w:eastAsia="游ゴシック" w:hAnsi="游ゴシック" w:cs="ＭＳ 明朝" w:hint="eastAsia"/>
          <w:kern w:val="0"/>
          <w:sz w:val="20"/>
          <w:szCs w:val="20"/>
        </w:rPr>
        <w:t>私の営業活動の根幹にあるのは、「お客様の利益を最優先する中立性」を貫くマインドです。来店型代理店では、様々な会社の商品の売上ノルマを意識しがちですが、私は常に「この世帯にとって、今何が最適か」という一点のみに集中しました。例えば、既存契約のほうが優れていると判断した場合は、正直にその旨を伝え、無理な契約を勧めない姿勢を徹底しました。その結果、「この人は信頼できる」と評価いただき、その場で契約に至らなくても、数ヶ月後の見直しやご家族の紹介に繋がることが非常に多かったです。この目先の利益よりも長期的な信頼を重視する誠実な姿勢こそが、貴社においても必ず成果に繋がるポータブルスキルだと確信しています。</w:t>
      </w:r>
    </w:p>
    <w:p w14:paraId="3F4096EB" w14:textId="77777777" w:rsidR="00C54B2B" w:rsidRDefault="00C54B2B" w:rsidP="00C54B2B">
      <w:pPr>
        <w:ind w:left="420"/>
        <w:rPr>
          <w:rFonts w:ascii="游ゴシック" w:eastAsia="游ゴシック" w:hAnsi="游ゴシック" w:cs="ＭＳ 明朝" w:hint="eastAsia"/>
          <w:kern w:val="0"/>
          <w:sz w:val="20"/>
          <w:szCs w:val="20"/>
        </w:rPr>
      </w:pPr>
    </w:p>
    <w:p w14:paraId="4AADCCEF" w14:textId="77777777" w:rsidR="00C54B2B" w:rsidRDefault="00C54B2B" w:rsidP="00DE3E50">
      <w:pPr>
        <w:ind w:left="420"/>
        <w:rPr>
          <w:rFonts w:ascii="游ゴシック" w:eastAsia="游ゴシック" w:hAnsi="游ゴシック" w:cs="ＭＳ 明朝"/>
          <w:b/>
          <w:kern w:val="0"/>
          <w:sz w:val="20"/>
          <w:szCs w:val="20"/>
          <w:u w:val="single"/>
        </w:rPr>
      </w:pPr>
      <w:r w:rsidRPr="00C54B2B">
        <w:rPr>
          <w:rFonts w:ascii="游ゴシック" w:eastAsia="游ゴシック" w:hAnsi="游ゴシック" w:cs="ＭＳ 明朝" w:hint="eastAsia"/>
          <w:b/>
          <w:kern w:val="0"/>
          <w:sz w:val="20"/>
          <w:szCs w:val="20"/>
          <w:u w:val="single"/>
        </w:rPr>
        <w:t>情報を構造化し、難解な事柄を分かりやすく伝える力</w:t>
      </w:r>
    </w:p>
    <w:p w14:paraId="653E98BC" w14:textId="573DCA8D" w:rsidR="000F69D5" w:rsidRPr="00DE3E50" w:rsidRDefault="00C54B2B" w:rsidP="00DE3E50">
      <w:pPr>
        <w:ind w:left="420"/>
        <w:rPr>
          <w:rFonts w:ascii="游ゴシック" w:eastAsia="游ゴシック" w:hAnsi="游ゴシック" w:cs="ＭＳ 明朝"/>
          <w:b/>
          <w:kern w:val="0"/>
          <w:sz w:val="20"/>
          <w:szCs w:val="20"/>
          <w:u w:val="single"/>
        </w:rPr>
      </w:pPr>
      <w:r w:rsidRPr="00C54B2B">
        <w:rPr>
          <w:rFonts w:ascii="游ゴシック" w:eastAsia="游ゴシック" w:hAnsi="游ゴシック" w:cs="ＭＳ 明朝" w:hint="eastAsia"/>
          <w:kern w:val="0"/>
          <w:sz w:val="20"/>
          <w:szCs w:val="20"/>
        </w:rPr>
        <w:t>約40社の生保、15社の損保の中から最適解を導くためには、複雑な情報を整理し、専門用語を使わずに分かりやすく伝える能力が不可欠です。私は、各社商品の保障内容や約款の差異を、お客様が理解しやすいよう独自の図解やチャートを用いて構造化し、比較提案に活用してきました。特に、来店されたお客様に対しては、短い時間で多くの情報を納得いただくため、「結論→根拠→お客様のメリット」の順序で端的に説明することを徹底。これにより、「難しかった保険の話が初めて理解できた」「迷いがなくなった」とのお言葉を多くいただき、高いクロージング率に結びつきました。この情報整理力と明快な伝達力は、あらゆるビジネスシーンで活かせる汎用性の高い強みです</w:t>
      </w:r>
      <w:r w:rsidR="00C03492" w:rsidRPr="00C03492">
        <w:rPr>
          <w:rFonts w:ascii="游ゴシック" w:eastAsia="游ゴシック" w:hAnsi="游ゴシック" w:cs="ＭＳ 明朝" w:hint="eastAsia"/>
          <w:kern w:val="0"/>
          <w:sz w:val="20"/>
          <w:szCs w:val="20"/>
        </w:rPr>
        <w:t>。</w:t>
      </w:r>
    </w:p>
    <w:p w14:paraId="2D765584" w14:textId="77777777" w:rsidR="00DC2BCE" w:rsidRPr="0086235B" w:rsidRDefault="00071491" w:rsidP="00522E24">
      <w:pPr>
        <w:ind w:left="42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77777777"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77777777"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FF77A" w14:textId="77777777" w:rsidR="00F73939" w:rsidRDefault="00F73939" w:rsidP="00A840AC">
      <w:r>
        <w:separator/>
      </w:r>
    </w:p>
  </w:endnote>
  <w:endnote w:type="continuationSeparator" w:id="0">
    <w:p w14:paraId="3C4CDB2C" w14:textId="77777777" w:rsidR="00F73939" w:rsidRDefault="00F73939"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3CBA6" w14:textId="77777777" w:rsidR="00F73939" w:rsidRDefault="00F73939" w:rsidP="00A840AC">
      <w:r>
        <w:separator/>
      </w:r>
    </w:p>
  </w:footnote>
  <w:footnote w:type="continuationSeparator" w:id="0">
    <w:p w14:paraId="54BFD59F" w14:textId="77777777" w:rsidR="00F73939" w:rsidRDefault="00F73939"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13CBD"/>
    <w:rsid w:val="00016B27"/>
    <w:rsid w:val="00022F4A"/>
    <w:rsid w:val="00031189"/>
    <w:rsid w:val="000330D1"/>
    <w:rsid w:val="00037A89"/>
    <w:rsid w:val="00042045"/>
    <w:rsid w:val="00046612"/>
    <w:rsid w:val="00052AEC"/>
    <w:rsid w:val="00054838"/>
    <w:rsid w:val="000574E8"/>
    <w:rsid w:val="000601C2"/>
    <w:rsid w:val="000646A0"/>
    <w:rsid w:val="00066CEB"/>
    <w:rsid w:val="00071491"/>
    <w:rsid w:val="000719B3"/>
    <w:rsid w:val="000738F3"/>
    <w:rsid w:val="0008315C"/>
    <w:rsid w:val="0008342F"/>
    <w:rsid w:val="00087245"/>
    <w:rsid w:val="0009266D"/>
    <w:rsid w:val="000927E5"/>
    <w:rsid w:val="00097ED1"/>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1329E"/>
    <w:rsid w:val="00113B29"/>
    <w:rsid w:val="00117920"/>
    <w:rsid w:val="00117CC7"/>
    <w:rsid w:val="00120926"/>
    <w:rsid w:val="001223AC"/>
    <w:rsid w:val="0012497B"/>
    <w:rsid w:val="00125DDF"/>
    <w:rsid w:val="001329F5"/>
    <w:rsid w:val="00133241"/>
    <w:rsid w:val="00134F45"/>
    <w:rsid w:val="001409C1"/>
    <w:rsid w:val="001448CA"/>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B2C21"/>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4318B"/>
    <w:rsid w:val="00443E44"/>
    <w:rsid w:val="0044452B"/>
    <w:rsid w:val="004464AE"/>
    <w:rsid w:val="00446AC4"/>
    <w:rsid w:val="0045051A"/>
    <w:rsid w:val="00452B86"/>
    <w:rsid w:val="00452D8F"/>
    <w:rsid w:val="00453C0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29FB"/>
    <w:rsid w:val="00594DC7"/>
    <w:rsid w:val="00596286"/>
    <w:rsid w:val="005973A2"/>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6DE1"/>
    <w:rsid w:val="00630A4A"/>
    <w:rsid w:val="00631E6C"/>
    <w:rsid w:val="00633C12"/>
    <w:rsid w:val="0063550E"/>
    <w:rsid w:val="00636049"/>
    <w:rsid w:val="00640A72"/>
    <w:rsid w:val="006442B9"/>
    <w:rsid w:val="00644D18"/>
    <w:rsid w:val="00646A65"/>
    <w:rsid w:val="00646DFD"/>
    <w:rsid w:val="0065495F"/>
    <w:rsid w:val="00657B8A"/>
    <w:rsid w:val="0066417F"/>
    <w:rsid w:val="006642DA"/>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704C56"/>
    <w:rsid w:val="00706B09"/>
    <w:rsid w:val="007110B3"/>
    <w:rsid w:val="00716622"/>
    <w:rsid w:val="0072038F"/>
    <w:rsid w:val="00720B43"/>
    <w:rsid w:val="00724731"/>
    <w:rsid w:val="00737E38"/>
    <w:rsid w:val="00740735"/>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A1740"/>
    <w:rsid w:val="008A37FF"/>
    <w:rsid w:val="008A7A8D"/>
    <w:rsid w:val="008D7709"/>
    <w:rsid w:val="008E527F"/>
    <w:rsid w:val="008E548E"/>
    <w:rsid w:val="008E6EDF"/>
    <w:rsid w:val="008E7093"/>
    <w:rsid w:val="008F39A2"/>
    <w:rsid w:val="008F6283"/>
    <w:rsid w:val="00900F5C"/>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4A01"/>
    <w:rsid w:val="009B5A05"/>
    <w:rsid w:val="009B7A8D"/>
    <w:rsid w:val="009C1472"/>
    <w:rsid w:val="009C48FA"/>
    <w:rsid w:val="009C5982"/>
    <w:rsid w:val="009D0C05"/>
    <w:rsid w:val="009D416B"/>
    <w:rsid w:val="009E39BF"/>
    <w:rsid w:val="009F2D08"/>
    <w:rsid w:val="009F4618"/>
    <w:rsid w:val="009F512A"/>
    <w:rsid w:val="009F5BB1"/>
    <w:rsid w:val="009F5C8F"/>
    <w:rsid w:val="00A0343C"/>
    <w:rsid w:val="00A038C6"/>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1D60"/>
    <w:rsid w:val="00A8365D"/>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316D8"/>
    <w:rsid w:val="00B322A5"/>
    <w:rsid w:val="00B33439"/>
    <w:rsid w:val="00B341A2"/>
    <w:rsid w:val="00B342A8"/>
    <w:rsid w:val="00B3742C"/>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A46"/>
    <w:rsid w:val="00BB38FC"/>
    <w:rsid w:val="00BC2401"/>
    <w:rsid w:val="00BC2F6D"/>
    <w:rsid w:val="00BD0605"/>
    <w:rsid w:val="00BD1DF1"/>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4B2B"/>
    <w:rsid w:val="00C57BA1"/>
    <w:rsid w:val="00C62161"/>
    <w:rsid w:val="00C64474"/>
    <w:rsid w:val="00C64E31"/>
    <w:rsid w:val="00C66364"/>
    <w:rsid w:val="00C7240E"/>
    <w:rsid w:val="00C7589D"/>
    <w:rsid w:val="00C76FFA"/>
    <w:rsid w:val="00C806B0"/>
    <w:rsid w:val="00C82AF1"/>
    <w:rsid w:val="00C82DE9"/>
    <w:rsid w:val="00C8638F"/>
    <w:rsid w:val="00CA70F5"/>
    <w:rsid w:val="00CA7820"/>
    <w:rsid w:val="00CB54E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81ED1"/>
    <w:rsid w:val="00D82962"/>
    <w:rsid w:val="00D8330F"/>
    <w:rsid w:val="00D93E1B"/>
    <w:rsid w:val="00D940A9"/>
    <w:rsid w:val="00D96477"/>
    <w:rsid w:val="00DA192F"/>
    <w:rsid w:val="00DA73BE"/>
    <w:rsid w:val="00DB1189"/>
    <w:rsid w:val="00DB17C8"/>
    <w:rsid w:val="00DB7424"/>
    <w:rsid w:val="00DC250D"/>
    <w:rsid w:val="00DC2BCE"/>
    <w:rsid w:val="00DC3834"/>
    <w:rsid w:val="00DC5132"/>
    <w:rsid w:val="00DC53AA"/>
    <w:rsid w:val="00DC635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3AFF"/>
    <w:rsid w:val="00E73CCB"/>
    <w:rsid w:val="00E758BF"/>
    <w:rsid w:val="00E80519"/>
    <w:rsid w:val="00E91D70"/>
    <w:rsid w:val="00EA0638"/>
    <w:rsid w:val="00EA36F2"/>
    <w:rsid w:val="00EA5256"/>
    <w:rsid w:val="00EB1C8C"/>
    <w:rsid w:val="00EB24FD"/>
    <w:rsid w:val="00EB2D84"/>
    <w:rsid w:val="00EB3B1E"/>
    <w:rsid w:val="00EB53B3"/>
    <w:rsid w:val="00EB5633"/>
    <w:rsid w:val="00EB6BE3"/>
    <w:rsid w:val="00EB6EF1"/>
    <w:rsid w:val="00EC0081"/>
    <w:rsid w:val="00EC00D3"/>
    <w:rsid w:val="00EC09C5"/>
    <w:rsid w:val="00EC4D43"/>
    <w:rsid w:val="00EC79D8"/>
    <w:rsid w:val="00ED07FB"/>
    <w:rsid w:val="00EE25B7"/>
    <w:rsid w:val="00EE4042"/>
    <w:rsid w:val="00EE4B5F"/>
    <w:rsid w:val="00F02466"/>
    <w:rsid w:val="00F027E3"/>
    <w:rsid w:val="00F11CC9"/>
    <w:rsid w:val="00F134E8"/>
    <w:rsid w:val="00F13DCC"/>
    <w:rsid w:val="00F15F46"/>
    <w:rsid w:val="00F21927"/>
    <w:rsid w:val="00F221B9"/>
    <w:rsid w:val="00F221E6"/>
    <w:rsid w:val="00F225F6"/>
    <w:rsid w:val="00F22712"/>
    <w:rsid w:val="00F237E1"/>
    <w:rsid w:val="00F27919"/>
    <w:rsid w:val="00F27C58"/>
    <w:rsid w:val="00F302DB"/>
    <w:rsid w:val="00F326A2"/>
    <w:rsid w:val="00F45EAC"/>
    <w:rsid w:val="00F5538F"/>
    <w:rsid w:val="00F5631C"/>
    <w:rsid w:val="00F607EB"/>
    <w:rsid w:val="00F627B7"/>
    <w:rsid w:val="00F65ECD"/>
    <w:rsid w:val="00F71D32"/>
    <w:rsid w:val="00F71F80"/>
    <w:rsid w:val="00F73939"/>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397</Words>
  <Characters>2269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5</cp:revision>
  <cp:lastPrinted>2019-06-16T08:49:00Z</cp:lastPrinted>
  <dcterms:created xsi:type="dcterms:W3CDTF">2025-10-17T13:14:00Z</dcterms:created>
  <dcterms:modified xsi:type="dcterms:W3CDTF">2025-10-17T13:24:00Z</dcterms:modified>
</cp:coreProperties>
</file>